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2338"/>
        <w:gridCol w:w="6668"/>
      </w:tblGrid>
      <w:tr w:rsidR="008D2A93" w:rsidRPr="008D6AE4" w14:paraId="6683C1C3" w14:textId="77777777" w:rsidTr="008D2A93">
        <w:trPr>
          <w:trHeight w:val="567"/>
        </w:trPr>
        <w:tc>
          <w:tcPr>
            <w:tcW w:w="2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3B1F48"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b/>
                <w:bCs/>
                <w:lang w:val="en-AU"/>
              </w:rPr>
              <w:t>Organisations:</w:t>
            </w:r>
          </w:p>
        </w:tc>
        <w:tc>
          <w:tcPr>
            <w:tcW w:w="6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BCDD1"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lang w:val="en-AU"/>
              </w:rPr>
              <w:t>New Zealand Environmental Protection Authority (EPA)</w:t>
            </w:r>
          </w:p>
        </w:tc>
      </w:tr>
      <w:tr w:rsidR="008D2A93" w:rsidRPr="008D6AE4" w14:paraId="21FA6986" w14:textId="77777777" w:rsidTr="008D2A93">
        <w:trPr>
          <w:trHeight w:val="567"/>
        </w:trPr>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D4136"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b/>
                <w:bCs/>
                <w:lang w:val="en-AU"/>
              </w:rPr>
              <w:t>Country Representatives:</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7CAB999E"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lang w:val="en-AU"/>
              </w:rPr>
              <w:t>Siobhan Quayle – General Manager, Climate, Land &amp; Oceans</w:t>
            </w:r>
          </w:p>
          <w:p w14:paraId="5E313CE8"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lang w:val="en-AU"/>
              </w:rPr>
              <w:t xml:space="preserve">Ben </w:t>
            </w:r>
            <w:proofErr w:type="spellStart"/>
            <w:r w:rsidRPr="008D6AE4">
              <w:rPr>
                <w:rFonts w:asciiTheme="minorHAnsi" w:hAnsiTheme="minorHAnsi" w:cstheme="minorHAnsi"/>
                <w:lang w:val="en-AU"/>
              </w:rPr>
              <w:t>Moginie</w:t>
            </w:r>
            <w:proofErr w:type="spellEnd"/>
            <w:r w:rsidRPr="008D6AE4">
              <w:rPr>
                <w:rFonts w:asciiTheme="minorHAnsi" w:hAnsiTheme="minorHAnsi" w:cstheme="minorHAnsi"/>
                <w:lang w:val="en-AU"/>
              </w:rPr>
              <w:t>– Advisor, EEZ Applications</w:t>
            </w:r>
          </w:p>
        </w:tc>
      </w:tr>
      <w:tr w:rsidR="008D2A93" w:rsidRPr="008D6AE4" w14:paraId="24D0B00E" w14:textId="77777777" w:rsidTr="008D2A93">
        <w:trPr>
          <w:trHeight w:val="567"/>
        </w:trPr>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EF9F8"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b/>
                <w:bCs/>
                <w:lang w:val="en-AU"/>
              </w:rPr>
              <w:t>Contact:</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39B87317" w14:textId="77777777" w:rsidR="008D2A93" w:rsidRPr="008D6AE4" w:rsidRDefault="00D276EA">
            <w:pPr>
              <w:spacing w:before="120" w:after="120"/>
              <w:rPr>
                <w:rFonts w:asciiTheme="minorHAnsi" w:hAnsiTheme="minorHAnsi" w:cstheme="minorHAnsi"/>
                <w:lang w:val="en-AU"/>
              </w:rPr>
            </w:pPr>
            <w:hyperlink r:id="rId7" w:history="1">
              <w:r w:rsidR="008D2A93" w:rsidRPr="008D6AE4">
                <w:rPr>
                  <w:rStyle w:val="Hyperlink"/>
                  <w:rFonts w:asciiTheme="minorHAnsi" w:hAnsiTheme="minorHAnsi" w:cstheme="minorHAnsi"/>
                  <w:lang w:val="en-AU"/>
                </w:rPr>
                <w:t>Siobhan.Quayle@epa.govt.nz</w:t>
              </w:r>
            </w:hyperlink>
            <w:r w:rsidR="008D2A93" w:rsidRPr="008D6AE4">
              <w:rPr>
                <w:rFonts w:asciiTheme="minorHAnsi" w:hAnsiTheme="minorHAnsi" w:cstheme="minorHAnsi"/>
                <w:lang w:val="en-AU"/>
              </w:rPr>
              <w:t xml:space="preserve"> </w:t>
            </w:r>
          </w:p>
          <w:p w14:paraId="74240495" w14:textId="77777777" w:rsidR="008D2A93" w:rsidRPr="008D6AE4" w:rsidRDefault="00D276EA">
            <w:pPr>
              <w:spacing w:before="120" w:after="120"/>
              <w:rPr>
                <w:rFonts w:asciiTheme="minorHAnsi" w:hAnsiTheme="minorHAnsi" w:cstheme="minorHAnsi"/>
                <w:lang w:val="en-AU"/>
              </w:rPr>
            </w:pPr>
            <w:hyperlink r:id="rId8" w:history="1">
              <w:r w:rsidR="008D2A93" w:rsidRPr="008D6AE4">
                <w:rPr>
                  <w:rStyle w:val="Hyperlink"/>
                  <w:rFonts w:asciiTheme="minorHAnsi" w:hAnsiTheme="minorHAnsi" w:cstheme="minorHAnsi"/>
                  <w:lang w:val="en-AU"/>
                </w:rPr>
                <w:t>Ben.Moginie@epa.govt.nz</w:t>
              </w:r>
            </w:hyperlink>
          </w:p>
        </w:tc>
      </w:tr>
      <w:tr w:rsidR="008D2A93" w:rsidRPr="008D6AE4" w14:paraId="0683759C" w14:textId="77777777" w:rsidTr="008D2A93">
        <w:trPr>
          <w:trHeight w:val="567"/>
        </w:trPr>
        <w:tc>
          <w:tcPr>
            <w:tcW w:w="90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EE086"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b/>
                <w:bCs/>
                <w:lang w:val="en-AU"/>
              </w:rPr>
              <w:t>Regime Scope:</w:t>
            </w:r>
            <w:r w:rsidRPr="008D6AE4">
              <w:rPr>
                <w:rFonts w:asciiTheme="minorHAnsi" w:hAnsiTheme="minorHAnsi" w:cstheme="minorHAnsi"/>
                <w:lang w:val="en-AU"/>
              </w:rPr>
              <w:t xml:space="preserve"> </w:t>
            </w:r>
            <w:r w:rsidRPr="008D6AE4">
              <w:rPr>
                <w:rFonts w:asciiTheme="minorHAnsi" w:hAnsiTheme="minorHAnsi" w:cstheme="minorHAnsi"/>
                <w:lang w:val="en-US"/>
              </w:rPr>
              <w:t>The EPA manages the environmental effects of activities and existing structures in the New Zealand Exclusive Economic Zone (EEZ) and Continental Shelf, including prospecting for petroleum and minerals, seismic surveying and scientific research.</w:t>
            </w:r>
          </w:p>
          <w:p w14:paraId="70F873E8" w14:textId="77777777" w:rsidR="008D2A93" w:rsidRPr="008D6AE4" w:rsidRDefault="008D2A93">
            <w:pPr>
              <w:spacing w:before="120" w:after="120"/>
              <w:contextualSpacing/>
              <w:rPr>
                <w:rFonts w:asciiTheme="minorHAnsi" w:hAnsiTheme="minorHAnsi" w:cstheme="minorHAnsi"/>
              </w:rPr>
            </w:pPr>
            <w:r w:rsidRPr="008D6AE4">
              <w:rPr>
                <w:rFonts w:asciiTheme="minorHAnsi" w:hAnsiTheme="minorHAnsi" w:cstheme="minorHAnsi"/>
                <w:lang w:val="en-AU"/>
              </w:rPr>
              <w:t> </w:t>
            </w:r>
          </w:p>
        </w:tc>
      </w:tr>
      <w:tr w:rsidR="008D2A93" w:rsidRPr="008D6AE4" w14:paraId="62C01D90" w14:textId="77777777" w:rsidTr="008D2A93">
        <w:trPr>
          <w:trHeight w:val="567"/>
        </w:trPr>
        <w:tc>
          <w:tcPr>
            <w:tcW w:w="90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38B8E" w14:textId="77777777" w:rsidR="008D2A93" w:rsidRPr="008D6AE4" w:rsidRDefault="008D2A93">
            <w:pPr>
              <w:spacing w:before="120" w:after="120"/>
              <w:rPr>
                <w:rFonts w:asciiTheme="minorHAnsi" w:hAnsiTheme="minorHAnsi" w:cstheme="minorHAnsi"/>
                <w:b/>
                <w:bCs/>
                <w:lang w:val="en-AU"/>
              </w:rPr>
            </w:pPr>
            <w:r w:rsidRPr="008D6AE4">
              <w:rPr>
                <w:rFonts w:asciiTheme="minorHAnsi" w:hAnsiTheme="minorHAnsi" w:cstheme="minorHAnsi"/>
                <w:b/>
                <w:bCs/>
                <w:lang w:val="en-AU"/>
              </w:rPr>
              <w:t>Administering Agency/Arrangements:</w:t>
            </w:r>
          </w:p>
          <w:p w14:paraId="464DB508" w14:textId="77777777" w:rsidR="008D2A93" w:rsidRPr="008D6AE4" w:rsidRDefault="008D2A93">
            <w:pPr>
              <w:spacing w:before="120" w:after="120"/>
              <w:rPr>
                <w:rFonts w:asciiTheme="minorHAnsi" w:hAnsiTheme="minorHAnsi" w:cstheme="minorHAnsi"/>
                <w:lang w:val="en-AU"/>
              </w:rPr>
            </w:pPr>
            <w:r w:rsidRPr="008D6AE4">
              <w:rPr>
                <w:rFonts w:asciiTheme="minorHAnsi" w:hAnsiTheme="minorHAnsi" w:cstheme="minorHAnsi"/>
                <w:lang w:val="en-AU"/>
              </w:rPr>
              <w:t>The Exclusive Economic Zone and Continental Shelf (Environmental Effects) Act 2012 and its functions is administered by the Environmental Protection Authority.</w:t>
            </w:r>
          </w:p>
          <w:p w14:paraId="2E26C3DB" w14:textId="77777777" w:rsidR="008D2A93" w:rsidRPr="008D6AE4" w:rsidRDefault="008D2A93">
            <w:pPr>
              <w:spacing w:before="120" w:after="120"/>
              <w:rPr>
                <w:rFonts w:asciiTheme="minorHAnsi" w:hAnsiTheme="minorHAnsi" w:cstheme="minorHAnsi"/>
                <w:lang w:val="en-AU"/>
              </w:rPr>
            </w:pPr>
            <w:r w:rsidRPr="008D6AE4">
              <w:rPr>
                <w:rFonts w:asciiTheme="minorHAnsi" w:hAnsiTheme="minorHAnsi" w:cstheme="minorHAnsi"/>
                <w:lang w:val="en-AU"/>
              </w:rPr>
              <w:t>The Marine Mammals Protection Act 1978 and its functions is administered by the Department for Conservation.</w:t>
            </w:r>
          </w:p>
          <w:p w14:paraId="20347B22"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rPr>
              <w:t xml:space="preserve">The Maritime Transport Act and functions is administered by Maritime New Zealand. </w:t>
            </w:r>
          </w:p>
          <w:p w14:paraId="18648146"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rPr>
              <w:t>The Crown Minerals Act 1991 and its functions is administered by the Ministry for Business, Innovation and Employment.</w:t>
            </w:r>
          </w:p>
        </w:tc>
      </w:tr>
      <w:tr w:rsidR="008D2A93" w:rsidRPr="008D6AE4" w14:paraId="25A60CBC" w14:textId="77777777" w:rsidTr="008D2A93">
        <w:trPr>
          <w:trHeight w:val="567"/>
        </w:trPr>
        <w:tc>
          <w:tcPr>
            <w:tcW w:w="90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B13EC" w14:textId="77777777" w:rsidR="008D2A93" w:rsidRPr="008D6AE4" w:rsidRDefault="008D2A93">
            <w:pPr>
              <w:spacing w:before="120" w:after="120"/>
              <w:rPr>
                <w:rFonts w:asciiTheme="minorHAnsi" w:hAnsiTheme="minorHAnsi" w:cstheme="minorHAnsi"/>
                <w:lang w:val="en-AU"/>
              </w:rPr>
            </w:pPr>
            <w:r w:rsidRPr="008D6AE4">
              <w:rPr>
                <w:rFonts w:asciiTheme="minorHAnsi" w:hAnsiTheme="minorHAnsi" w:cstheme="minorHAnsi"/>
                <w:b/>
                <w:bCs/>
                <w:lang w:val="en-AU"/>
              </w:rPr>
              <w:t>Legislation Type:</w:t>
            </w:r>
            <w:r w:rsidRPr="008D6AE4">
              <w:rPr>
                <w:rFonts w:asciiTheme="minorHAnsi" w:hAnsiTheme="minorHAnsi" w:cstheme="minorHAnsi"/>
                <w:lang w:val="en-AU"/>
              </w:rPr>
              <w:t xml:space="preserve"> </w:t>
            </w:r>
          </w:p>
          <w:p w14:paraId="1878332E" w14:textId="77777777" w:rsidR="008D2A93" w:rsidRPr="008D6AE4" w:rsidRDefault="008D2A93">
            <w:pPr>
              <w:spacing w:before="120" w:after="120"/>
              <w:rPr>
                <w:rFonts w:asciiTheme="minorHAnsi" w:hAnsiTheme="minorHAnsi" w:cstheme="minorHAnsi"/>
                <w:lang w:val="en-AU"/>
              </w:rPr>
            </w:pPr>
            <w:r w:rsidRPr="008D6AE4">
              <w:rPr>
                <w:rFonts w:asciiTheme="minorHAnsi" w:hAnsiTheme="minorHAnsi" w:cstheme="minorHAnsi"/>
                <w:lang w:val="en-AU"/>
              </w:rPr>
              <w:t>Parliamentary Act: Exclusive Economic Zone and Continental Shelf (Environmental Effects) Act 2012 (The EEZ Act) and regulations, including:</w:t>
            </w:r>
          </w:p>
          <w:p w14:paraId="56503BA9" w14:textId="77777777" w:rsidR="008D2A93" w:rsidRPr="008D6AE4" w:rsidRDefault="008D2A93" w:rsidP="00C44F52">
            <w:pPr>
              <w:pStyle w:val="ListParagraph"/>
              <w:numPr>
                <w:ilvl w:val="0"/>
                <w:numId w:val="1"/>
              </w:numPr>
              <w:spacing w:before="120" w:after="120"/>
              <w:rPr>
                <w:rFonts w:asciiTheme="minorHAnsi" w:hAnsiTheme="minorHAnsi" w:cstheme="minorHAnsi"/>
                <w:lang w:val="en-AU"/>
              </w:rPr>
            </w:pPr>
            <w:r w:rsidRPr="008D6AE4">
              <w:rPr>
                <w:rFonts w:asciiTheme="minorHAnsi" w:hAnsiTheme="minorHAnsi" w:cstheme="minorHAnsi"/>
                <w:lang w:val="en-AU"/>
              </w:rPr>
              <w:t>Exclusive Economic Zone and Continental Shelf (Dumping and Discharge) Regulations 2015,</w:t>
            </w:r>
          </w:p>
          <w:p w14:paraId="5F0D94F7" w14:textId="77777777" w:rsidR="008D2A93" w:rsidRPr="008D6AE4" w:rsidRDefault="008D2A93" w:rsidP="00C44F52">
            <w:pPr>
              <w:pStyle w:val="ListParagraph"/>
              <w:numPr>
                <w:ilvl w:val="0"/>
                <w:numId w:val="1"/>
              </w:numPr>
              <w:spacing w:before="120" w:after="120"/>
              <w:rPr>
                <w:rFonts w:asciiTheme="minorHAnsi" w:hAnsiTheme="minorHAnsi" w:cstheme="minorHAnsi"/>
                <w:lang w:val="en-AU"/>
              </w:rPr>
            </w:pPr>
            <w:r w:rsidRPr="008D6AE4">
              <w:rPr>
                <w:rFonts w:asciiTheme="minorHAnsi" w:hAnsiTheme="minorHAnsi" w:cstheme="minorHAnsi"/>
                <w:lang w:val="en-AU"/>
              </w:rPr>
              <w:t>Exclusive Economic Zone and Continental Shelf (Environmental Effects – Permitted Activities) Regulations 2013</w:t>
            </w:r>
          </w:p>
          <w:p w14:paraId="2718A804" w14:textId="77777777" w:rsidR="008D2A93" w:rsidRPr="008D6AE4" w:rsidRDefault="008D2A93" w:rsidP="00C44F52">
            <w:pPr>
              <w:pStyle w:val="ListParagraph"/>
              <w:numPr>
                <w:ilvl w:val="0"/>
                <w:numId w:val="1"/>
              </w:numPr>
              <w:spacing w:before="120" w:after="120"/>
              <w:rPr>
                <w:rFonts w:asciiTheme="minorHAnsi" w:hAnsiTheme="minorHAnsi" w:cstheme="minorHAnsi"/>
                <w:lang w:val="en-AU"/>
              </w:rPr>
            </w:pPr>
            <w:r w:rsidRPr="008D6AE4">
              <w:rPr>
                <w:rFonts w:asciiTheme="minorHAnsi" w:hAnsiTheme="minorHAnsi" w:cstheme="minorHAnsi"/>
                <w:lang w:val="en-AU"/>
              </w:rPr>
              <w:t>Exclusive Economic Zone and Continental Shelf (Environmental Effects – non-notified Activities) Regulations 2014</w:t>
            </w:r>
          </w:p>
          <w:p w14:paraId="77F26496" w14:textId="77777777" w:rsidR="008D2A93" w:rsidRPr="008D6AE4" w:rsidRDefault="008D2A93" w:rsidP="00C44F52">
            <w:pPr>
              <w:pStyle w:val="ListParagraph"/>
              <w:numPr>
                <w:ilvl w:val="0"/>
                <w:numId w:val="1"/>
              </w:numPr>
              <w:spacing w:before="120" w:after="120"/>
              <w:rPr>
                <w:rFonts w:asciiTheme="minorHAnsi" w:hAnsiTheme="minorHAnsi" w:cstheme="minorHAnsi"/>
                <w:lang w:val="en-AU"/>
              </w:rPr>
            </w:pPr>
            <w:r w:rsidRPr="008D6AE4">
              <w:rPr>
                <w:rFonts w:asciiTheme="minorHAnsi" w:hAnsiTheme="minorHAnsi" w:cstheme="minorHAnsi"/>
                <w:lang w:val="en-AU"/>
              </w:rPr>
              <w:t>Exclusive Economic Zone and Continental Shelf (Environmental Effects – Burial at Sea) Regulations 2015</w:t>
            </w:r>
          </w:p>
          <w:p w14:paraId="2909C51B" w14:textId="77777777" w:rsidR="008D2A93" w:rsidRPr="008D6AE4" w:rsidRDefault="008D2A93" w:rsidP="00C44F52">
            <w:pPr>
              <w:pStyle w:val="ListParagraph"/>
              <w:numPr>
                <w:ilvl w:val="0"/>
                <w:numId w:val="1"/>
              </w:numPr>
              <w:spacing w:before="120" w:after="120"/>
              <w:rPr>
                <w:rFonts w:asciiTheme="minorHAnsi" w:hAnsiTheme="minorHAnsi" w:cstheme="minorHAnsi"/>
                <w:lang w:val="en-AU"/>
              </w:rPr>
            </w:pPr>
            <w:r w:rsidRPr="008D6AE4">
              <w:rPr>
                <w:rFonts w:asciiTheme="minorHAnsi" w:hAnsiTheme="minorHAnsi" w:cstheme="minorHAnsi"/>
                <w:lang w:val="en-AU"/>
              </w:rPr>
              <w:t>Exclusive Economic Zone and Continental Shelf</w:t>
            </w:r>
          </w:p>
          <w:p w14:paraId="76DB64F6" w14:textId="77777777" w:rsidR="008D2A93" w:rsidRPr="008D6AE4" w:rsidRDefault="008D2A93">
            <w:pPr>
              <w:spacing w:before="120" w:after="120"/>
              <w:rPr>
                <w:rFonts w:asciiTheme="minorHAnsi" w:hAnsiTheme="minorHAnsi" w:cstheme="minorHAnsi"/>
                <w:lang w:val="en-AU"/>
              </w:rPr>
            </w:pPr>
            <w:r w:rsidRPr="008D6AE4">
              <w:rPr>
                <w:rFonts w:asciiTheme="minorHAnsi" w:hAnsiTheme="minorHAnsi" w:cstheme="minorHAnsi"/>
                <w:lang w:val="en-AU"/>
              </w:rPr>
              <w:t xml:space="preserve">Parliamentary </w:t>
            </w:r>
            <w:proofErr w:type="gramStart"/>
            <w:r w:rsidRPr="008D6AE4">
              <w:rPr>
                <w:rFonts w:asciiTheme="minorHAnsi" w:hAnsiTheme="minorHAnsi" w:cstheme="minorHAnsi"/>
                <w:lang w:val="en-AU"/>
              </w:rPr>
              <w:t>Act :</w:t>
            </w:r>
            <w:proofErr w:type="gramEnd"/>
            <w:r w:rsidRPr="008D6AE4">
              <w:rPr>
                <w:rFonts w:asciiTheme="minorHAnsi" w:hAnsiTheme="minorHAnsi" w:cstheme="minorHAnsi"/>
                <w:lang w:val="en-AU"/>
              </w:rPr>
              <w:t xml:space="preserve"> Crown Minerals Act 1991</w:t>
            </w:r>
          </w:p>
          <w:p w14:paraId="59BD2E7F"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lang w:val="en-AU"/>
              </w:rPr>
              <w:t xml:space="preserve">Parliamentary Act: </w:t>
            </w:r>
            <w:r w:rsidRPr="008D6AE4">
              <w:rPr>
                <w:rFonts w:asciiTheme="minorHAnsi" w:hAnsiTheme="minorHAnsi" w:cstheme="minorHAnsi"/>
              </w:rPr>
              <w:t>Marine Mammals Protections Act 1978</w:t>
            </w:r>
          </w:p>
          <w:p w14:paraId="49ADA52A"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rPr>
              <w:t>Parliamentary Act: Maritime Transport Act 1994</w:t>
            </w:r>
          </w:p>
        </w:tc>
      </w:tr>
    </w:tbl>
    <w:p w14:paraId="140E054F" w14:textId="77777777" w:rsidR="008D2A93" w:rsidRPr="008D6AE4" w:rsidRDefault="008D2A93">
      <w:pPr>
        <w:rPr>
          <w:rFonts w:asciiTheme="minorHAnsi" w:hAnsiTheme="minorHAnsi" w:cstheme="minorHAnsi"/>
        </w:rPr>
      </w:pPr>
      <w:r w:rsidRPr="008D6AE4">
        <w:rPr>
          <w:rFonts w:asciiTheme="minorHAnsi" w:hAnsiTheme="minorHAnsi" w:cstheme="minorHAnsi"/>
        </w:rPr>
        <w:br w:type="page"/>
      </w:r>
    </w:p>
    <w:tbl>
      <w:tblPr>
        <w:tblW w:w="0" w:type="auto"/>
        <w:tblCellMar>
          <w:left w:w="0" w:type="dxa"/>
          <w:right w:w="0" w:type="dxa"/>
        </w:tblCellMar>
        <w:tblLook w:val="04A0" w:firstRow="1" w:lastRow="0" w:firstColumn="1" w:lastColumn="0" w:noHBand="0" w:noVBand="1"/>
      </w:tblPr>
      <w:tblGrid>
        <w:gridCol w:w="2338"/>
        <w:gridCol w:w="6668"/>
      </w:tblGrid>
      <w:tr w:rsidR="008D2A93" w:rsidRPr="008D6AE4" w14:paraId="4E81A052" w14:textId="77777777" w:rsidTr="008D2A93">
        <w:trPr>
          <w:trHeight w:val="567"/>
        </w:trPr>
        <w:tc>
          <w:tcPr>
            <w:tcW w:w="900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433EEB" w14:textId="11FF8E98" w:rsidR="008D2A93" w:rsidRPr="008D6AE4" w:rsidRDefault="008D2A93">
            <w:pPr>
              <w:spacing w:before="120" w:after="120"/>
              <w:rPr>
                <w:rFonts w:asciiTheme="minorHAnsi" w:hAnsiTheme="minorHAnsi" w:cstheme="minorHAnsi"/>
                <w:b/>
                <w:bCs/>
                <w:lang w:val="en-AU"/>
              </w:rPr>
            </w:pPr>
            <w:r w:rsidRPr="008D6AE4">
              <w:rPr>
                <w:rFonts w:asciiTheme="minorHAnsi" w:hAnsiTheme="minorHAnsi" w:cstheme="minorHAnsi"/>
                <w:b/>
                <w:bCs/>
                <w:lang w:val="en-AU"/>
              </w:rPr>
              <w:lastRenderedPageBreak/>
              <w:t>Links to Relevant Legislation:</w:t>
            </w:r>
          </w:p>
          <w:p w14:paraId="24D1A72C" w14:textId="77777777" w:rsidR="008D2A93" w:rsidRPr="008D6AE4" w:rsidRDefault="008D2A93">
            <w:pPr>
              <w:spacing w:before="120" w:after="120"/>
              <w:rPr>
                <w:rFonts w:asciiTheme="minorHAnsi" w:hAnsiTheme="minorHAnsi" w:cstheme="minorHAnsi"/>
                <w:i/>
                <w:iCs/>
              </w:rPr>
            </w:pPr>
            <w:r w:rsidRPr="008D6AE4">
              <w:rPr>
                <w:rFonts w:asciiTheme="minorHAnsi" w:hAnsiTheme="minorHAnsi" w:cstheme="minorHAnsi"/>
                <w:i/>
                <w:iCs/>
                <w:lang w:val="en-AU"/>
              </w:rPr>
              <w:t>Exclusive Economic Zone and Continental Shelf (Environmental Effects) Act 2012</w:t>
            </w:r>
          </w:p>
          <w:p w14:paraId="1A0708BF" w14:textId="77777777" w:rsidR="008D2A93" w:rsidRPr="008D6AE4" w:rsidRDefault="00D276EA">
            <w:pPr>
              <w:spacing w:before="120" w:after="120"/>
              <w:rPr>
                <w:rFonts w:asciiTheme="minorHAnsi" w:hAnsiTheme="minorHAnsi" w:cstheme="minorHAnsi"/>
                <w:lang w:val="en-AU"/>
              </w:rPr>
            </w:pPr>
            <w:hyperlink r:id="rId9" w:history="1">
              <w:r w:rsidR="008D2A93" w:rsidRPr="008D6AE4">
                <w:rPr>
                  <w:rStyle w:val="Hyperlink"/>
                  <w:rFonts w:asciiTheme="minorHAnsi" w:hAnsiTheme="minorHAnsi" w:cstheme="minorHAnsi"/>
                  <w:lang w:val="en-AU"/>
                </w:rPr>
                <w:t>http://legislation.govt.nz/act/public/2012/0072/latest/DLM3955428.html?src=qs</w:t>
              </w:r>
            </w:hyperlink>
            <w:r w:rsidR="008D2A93" w:rsidRPr="008D6AE4">
              <w:rPr>
                <w:rFonts w:asciiTheme="minorHAnsi" w:hAnsiTheme="minorHAnsi" w:cstheme="minorHAnsi"/>
                <w:lang w:val="en-AU"/>
              </w:rPr>
              <w:t xml:space="preserve"> </w:t>
            </w:r>
          </w:p>
          <w:p w14:paraId="1AE73EFC" w14:textId="77777777" w:rsidR="008D2A93" w:rsidRPr="008D6AE4" w:rsidRDefault="008D2A93">
            <w:pPr>
              <w:spacing w:before="120" w:after="120"/>
              <w:rPr>
                <w:rFonts w:asciiTheme="minorHAnsi" w:hAnsiTheme="minorHAnsi" w:cstheme="minorHAnsi"/>
                <w:i/>
                <w:iCs/>
                <w:lang w:val="en-AU"/>
              </w:rPr>
            </w:pPr>
            <w:r w:rsidRPr="008D6AE4">
              <w:rPr>
                <w:rFonts w:asciiTheme="minorHAnsi" w:hAnsiTheme="minorHAnsi" w:cstheme="minorHAnsi"/>
                <w:i/>
                <w:iCs/>
                <w:lang w:val="en-AU"/>
              </w:rPr>
              <w:t>Marine Mammals Protections Act 1978</w:t>
            </w:r>
          </w:p>
          <w:p w14:paraId="34681AD8" w14:textId="77777777" w:rsidR="008D2A93" w:rsidRPr="008D6AE4" w:rsidRDefault="00D276EA">
            <w:pPr>
              <w:spacing w:before="120" w:after="120"/>
              <w:rPr>
                <w:rFonts w:asciiTheme="minorHAnsi" w:hAnsiTheme="minorHAnsi" w:cstheme="minorHAnsi"/>
                <w:color w:val="1F497D"/>
              </w:rPr>
            </w:pPr>
            <w:hyperlink r:id="rId10" w:history="1">
              <w:r w:rsidR="008D2A93" w:rsidRPr="008D6AE4">
                <w:rPr>
                  <w:rStyle w:val="Hyperlink"/>
                  <w:rFonts w:asciiTheme="minorHAnsi" w:hAnsiTheme="minorHAnsi" w:cstheme="minorHAnsi"/>
                </w:rPr>
                <w:t>http://www.legislation.govt.nz/act/public/1978/0080/latest/DLM25111.html</w:t>
              </w:r>
            </w:hyperlink>
          </w:p>
          <w:p w14:paraId="18DAAD62" w14:textId="77777777" w:rsidR="008D2A93" w:rsidRPr="008D6AE4" w:rsidRDefault="008D2A93">
            <w:pPr>
              <w:spacing w:before="120" w:after="120"/>
              <w:rPr>
                <w:rFonts w:asciiTheme="minorHAnsi" w:hAnsiTheme="minorHAnsi" w:cstheme="minorHAnsi"/>
                <w:i/>
                <w:iCs/>
              </w:rPr>
            </w:pPr>
            <w:r w:rsidRPr="008D6AE4">
              <w:rPr>
                <w:rFonts w:asciiTheme="minorHAnsi" w:hAnsiTheme="minorHAnsi" w:cstheme="minorHAnsi"/>
                <w:i/>
                <w:iCs/>
              </w:rPr>
              <w:t>Maritime Transport Act 1994</w:t>
            </w:r>
          </w:p>
          <w:p w14:paraId="183A4512" w14:textId="77777777" w:rsidR="008D2A93" w:rsidRPr="008D6AE4" w:rsidRDefault="008D2A93">
            <w:pPr>
              <w:spacing w:before="120" w:after="120"/>
              <w:rPr>
                <w:rFonts w:asciiTheme="minorHAnsi" w:hAnsiTheme="minorHAnsi" w:cstheme="minorHAnsi"/>
                <w:color w:val="1F497D"/>
                <w:lang w:val="en-AU"/>
              </w:rPr>
            </w:pPr>
            <w:r w:rsidRPr="008D6AE4">
              <w:rPr>
                <w:rFonts w:asciiTheme="minorHAnsi" w:hAnsiTheme="minorHAnsi" w:cstheme="minorHAnsi"/>
                <w:lang w:val="en-AU"/>
              </w:rPr>
              <w:t> </w:t>
            </w:r>
            <w:hyperlink r:id="rId11" w:history="1">
              <w:r w:rsidRPr="008D6AE4">
                <w:rPr>
                  <w:rStyle w:val="Hyperlink"/>
                  <w:rFonts w:asciiTheme="minorHAnsi" w:hAnsiTheme="minorHAnsi" w:cstheme="minorHAnsi"/>
                  <w:lang w:val="en-AU"/>
                </w:rPr>
                <w:t>http://www.legislation.govt.nz/act/public/1994/0104/76.0/DLM334660.html</w:t>
              </w:r>
            </w:hyperlink>
          </w:p>
          <w:p w14:paraId="0E788D6C" w14:textId="77777777" w:rsidR="008D2A93" w:rsidRPr="008D6AE4" w:rsidRDefault="008D2A93">
            <w:pPr>
              <w:spacing w:before="120" w:after="120"/>
              <w:rPr>
                <w:rFonts w:asciiTheme="minorHAnsi" w:hAnsiTheme="minorHAnsi" w:cstheme="minorHAnsi"/>
                <w:i/>
                <w:iCs/>
                <w:lang w:val="en-AU"/>
              </w:rPr>
            </w:pPr>
            <w:r w:rsidRPr="008D6AE4">
              <w:rPr>
                <w:rFonts w:asciiTheme="minorHAnsi" w:hAnsiTheme="minorHAnsi" w:cstheme="minorHAnsi"/>
                <w:i/>
                <w:iCs/>
                <w:lang w:val="en-AU"/>
              </w:rPr>
              <w:t xml:space="preserve">Crown Minerals Act </w:t>
            </w:r>
          </w:p>
          <w:p w14:paraId="41D61F75" w14:textId="77777777" w:rsidR="008D2A93" w:rsidRPr="008D6AE4" w:rsidRDefault="00D276EA">
            <w:pPr>
              <w:spacing w:before="120" w:after="120"/>
              <w:rPr>
                <w:rFonts w:asciiTheme="minorHAnsi" w:hAnsiTheme="minorHAnsi" w:cstheme="minorHAnsi"/>
                <w:lang w:val="en-AU"/>
              </w:rPr>
            </w:pPr>
            <w:hyperlink r:id="rId12" w:history="1">
              <w:r w:rsidR="008D2A93" w:rsidRPr="008D6AE4">
                <w:rPr>
                  <w:rStyle w:val="Hyperlink"/>
                  <w:rFonts w:asciiTheme="minorHAnsi" w:hAnsiTheme="minorHAnsi" w:cstheme="minorHAnsi"/>
                  <w:lang w:val="en-AU"/>
                </w:rPr>
                <w:t>http://www.legislation.govt.nz/act/public/1991/0070/76.0/DLM242536.html</w:t>
              </w:r>
            </w:hyperlink>
          </w:p>
        </w:tc>
      </w:tr>
      <w:tr w:rsidR="008D2A93" w:rsidRPr="008D6AE4" w14:paraId="745DDC63" w14:textId="77777777" w:rsidTr="008D2A93">
        <w:trPr>
          <w:trHeight w:val="567"/>
        </w:trPr>
        <w:tc>
          <w:tcPr>
            <w:tcW w:w="90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05B4E" w14:textId="77777777" w:rsidR="008D2A93" w:rsidRPr="008D6AE4" w:rsidRDefault="008D2A93">
            <w:pPr>
              <w:spacing w:before="120" w:after="120"/>
              <w:rPr>
                <w:rFonts w:asciiTheme="minorHAnsi" w:hAnsiTheme="minorHAnsi" w:cstheme="minorHAnsi"/>
                <w:lang w:val="en-AU"/>
              </w:rPr>
            </w:pPr>
            <w:r w:rsidRPr="008D6AE4">
              <w:rPr>
                <w:rFonts w:asciiTheme="minorHAnsi" w:hAnsiTheme="minorHAnsi" w:cstheme="minorHAnsi"/>
                <w:b/>
                <w:bCs/>
                <w:lang w:val="en-AU"/>
              </w:rPr>
              <w:t>Extent of Government Approval:</w:t>
            </w:r>
            <w:r w:rsidRPr="008D6AE4">
              <w:rPr>
                <w:rFonts w:asciiTheme="minorHAnsi" w:hAnsiTheme="minorHAnsi" w:cstheme="minorHAnsi"/>
                <w:lang w:val="en-AU"/>
              </w:rPr>
              <w:t xml:space="preserve"> </w:t>
            </w:r>
          </w:p>
          <w:p w14:paraId="68EBA04A" w14:textId="77777777" w:rsidR="008D2A93" w:rsidRPr="008D6AE4" w:rsidRDefault="008D2A93">
            <w:pPr>
              <w:spacing w:before="120" w:after="120"/>
              <w:rPr>
                <w:rFonts w:asciiTheme="minorHAnsi" w:hAnsiTheme="minorHAnsi" w:cstheme="minorHAnsi"/>
                <w:lang w:val="en-AU"/>
              </w:rPr>
            </w:pPr>
            <w:r w:rsidRPr="008D6AE4">
              <w:rPr>
                <w:rFonts w:asciiTheme="minorHAnsi" w:hAnsiTheme="minorHAnsi" w:cstheme="minorHAnsi"/>
                <w:lang w:val="en-AU"/>
              </w:rPr>
              <w:t>Operators require approvals from several government agencies in New Zealand.</w:t>
            </w:r>
          </w:p>
          <w:p w14:paraId="327138BC" w14:textId="77777777" w:rsidR="008D2A93" w:rsidRPr="008D6AE4" w:rsidRDefault="00D276EA">
            <w:pPr>
              <w:spacing w:before="120" w:after="120"/>
              <w:rPr>
                <w:rFonts w:asciiTheme="minorHAnsi" w:hAnsiTheme="minorHAnsi" w:cstheme="minorHAnsi"/>
                <w:lang w:val="en-AU"/>
              </w:rPr>
            </w:pPr>
            <w:hyperlink r:id="rId13" w:history="1">
              <w:r w:rsidR="008D2A93" w:rsidRPr="008D6AE4">
                <w:rPr>
                  <w:rStyle w:val="Hyperlink"/>
                  <w:rFonts w:asciiTheme="minorHAnsi" w:hAnsiTheme="minorHAnsi" w:cstheme="minorHAnsi"/>
                  <w:lang w:val="en-AU"/>
                </w:rPr>
                <w:t>View the general roles of each agency for regulating offshore oil and gas activities.</w:t>
              </w:r>
            </w:hyperlink>
          </w:p>
          <w:p w14:paraId="3C9A55D2" w14:textId="77777777" w:rsidR="008D2A93" w:rsidRPr="008D6AE4" w:rsidRDefault="008D2A93">
            <w:pPr>
              <w:spacing w:before="120" w:after="120"/>
              <w:rPr>
                <w:rFonts w:asciiTheme="minorHAnsi" w:hAnsiTheme="minorHAnsi" w:cstheme="minorHAnsi"/>
                <w:lang w:val="en-AU"/>
              </w:rPr>
            </w:pPr>
            <w:r w:rsidRPr="008D6AE4">
              <w:rPr>
                <w:rFonts w:asciiTheme="minorHAnsi" w:hAnsiTheme="minorHAnsi" w:cstheme="minorHAnsi"/>
                <w:lang w:val="en-AU"/>
              </w:rPr>
              <w:t>Permits for exploration and production of offshore petroleum resources are administered by the Ministry for Business, Innovation and Employment.</w:t>
            </w:r>
          </w:p>
          <w:p w14:paraId="07DB24BF" w14:textId="77777777" w:rsidR="008D2A93" w:rsidRPr="008D6AE4" w:rsidRDefault="008D2A93">
            <w:pPr>
              <w:spacing w:before="120" w:after="120"/>
              <w:rPr>
                <w:rFonts w:asciiTheme="minorHAnsi" w:hAnsiTheme="minorHAnsi" w:cstheme="minorHAnsi"/>
                <w:lang w:val="en-AU"/>
              </w:rPr>
            </w:pPr>
            <w:r w:rsidRPr="008D6AE4">
              <w:rPr>
                <w:rFonts w:asciiTheme="minorHAnsi" w:hAnsiTheme="minorHAnsi" w:cstheme="minorHAnsi"/>
                <w:lang w:val="en-AU"/>
              </w:rPr>
              <w:t>Any operator wishing to undertake activities within the EEZ which are covered by the EEZ Act must apply for a marine consent from the EPA. The EPA Board is appointed by the Minister for the Environment.</w:t>
            </w:r>
          </w:p>
          <w:p w14:paraId="7D1D637D" w14:textId="77777777" w:rsidR="008D2A93" w:rsidRPr="008D6AE4" w:rsidRDefault="008D2A93">
            <w:pPr>
              <w:spacing w:before="120" w:after="120"/>
              <w:rPr>
                <w:rFonts w:asciiTheme="minorHAnsi" w:hAnsiTheme="minorHAnsi" w:cstheme="minorHAnsi"/>
                <w:i/>
                <w:iCs/>
                <w:lang w:val="en-AU"/>
              </w:rPr>
            </w:pPr>
            <w:r w:rsidRPr="008D6AE4">
              <w:rPr>
                <w:rFonts w:asciiTheme="minorHAnsi" w:hAnsiTheme="minorHAnsi" w:cstheme="minorHAnsi"/>
                <w:lang w:val="en-AU"/>
              </w:rPr>
              <w:t xml:space="preserve">Operators are permitted to undertake seismic surveying in the EEZ provided the operators comply with the Department of Conservation’s </w:t>
            </w:r>
            <w:r w:rsidRPr="008D6AE4">
              <w:rPr>
                <w:rFonts w:asciiTheme="minorHAnsi" w:hAnsiTheme="minorHAnsi" w:cstheme="minorHAnsi"/>
                <w:i/>
                <w:iCs/>
                <w:lang w:val="en-AU"/>
              </w:rPr>
              <w:t>2013 Code of Conduct for Minimising Acoustic Disturbance to Marine Mammals from Seismic Surveying Operations.</w:t>
            </w:r>
          </w:p>
          <w:p w14:paraId="6B7EA3C6"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rPr>
              <w:t xml:space="preserve">All offshore installations require an oil spill contingency plan approved by Maritime New Zealand and an emergency spill response plan approved by the EPA </w:t>
            </w:r>
            <w:proofErr w:type="gramStart"/>
            <w:r w:rsidRPr="008D6AE4">
              <w:rPr>
                <w:rFonts w:asciiTheme="minorHAnsi" w:hAnsiTheme="minorHAnsi" w:cstheme="minorHAnsi"/>
              </w:rPr>
              <w:t>in order to</w:t>
            </w:r>
            <w:proofErr w:type="gramEnd"/>
            <w:r w:rsidRPr="008D6AE4">
              <w:rPr>
                <w:rFonts w:asciiTheme="minorHAnsi" w:hAnsiTheme="minorHAnsi" w:cstheme="minorHAnsi"/>
              </w:rPr>
              <w:t xml:space="preserve"> operate.</w:t>
            </w:r>
          </w:p>
        </w:tc>
      </w:tr>
      <w:tr w:rsidR="008D2A93" w:rsidRPr="008D6AE4" w14:paraId="5FDBA25A" w14:textId="77777777" w:rsidTr="008D2A93">
        <w:trPr>
          <w:trHeight w:val="567"/>
        </w:trPr>
        <w:tc>
          <w:tcPr>
            <w:tcW w:w="90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CACBD"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b/>
                <w:bCs/>
                <w:lang w:val="en-AU"/>
              </w:rPr>
              <w:t>Nature of Duties Imposed:</w:t>
            </w:r>
            <w:r w:rsidRPr="008D6AE4">
              <w:rPr>
                <w:rFonts w:asciiTheme="minorHAnsi" w:hAnsiTheme="minorHAnsi" w:cstheme="minorHAnsi"/>
                <w:lang w:val="en-AU"/>
              </w:rPr>
              <w:t xml:space="preserve"> Every person carrying out, or proposing to carry out, an activity in the exclusive economic zone or on the continental shelf has a general duty to avoid, remedy, or mitigate the adverse effects of the activity on the environment, and to provide sufficient training, supervision and resources for employees engaged in the activity to ensure compliance with the EEZ Act.</w:t>
            </w:r>
          </w:p>
        </w:tc>
      </w:tr>
      <w:tr w:rsidR="008D2A93" w:rsidRPr="008D6AE4" w14:paraId="29A46E57" w14:textId="77777777" w:rsidTr="008D2A93">
        <w:trPr>
          <w:trHeight w:val="567"/>
        </w:trPr>
        <w:tc>
          <w:tcPr>
            <w:tcW w:w="90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52C8"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b/>
                <w:bCs/>
                <w:lang w:val="en-AU"/>
              </w:rPr>
              <w:t>Physical Objects in the Regime:</w:t>
            </w:r>
            <w:r w:rsidRPr="008D6AE4">
              <w:rPr>
                <w:rFonts w:asciiTheme="minorHAnsi" w:hAnsiTheme="minorHAnsi" w:cstheme="minorHAnsi"/>
                <w:lang w:val="en-AU"/>
              </w:rPr>
              <w:t xml:space="preserve"> </w:t>
            </w:r>
            <w:proofErr w:type="spellStart"/>
            <w:r w:rsidRPr="008D6AE4">
              <w:rPr>
                <w:rFonts w:asciiTheme="minorHAnsi" w:hAnsiTheme="minorHAnsi" w:cstheme="minorHAnsi"/>
                <w:lang w:val="en-AU"/>
              </w:rPr>
              <w:t>Māui</w:t>
            </w:r>
            <w:proofErr w:type="spellEnd"/>
            <w:r w:rsidRPr="008D6AE4">
              <w:rPr>
                <w:rFonts w:asciiTheme="minorHAnsi" w:hAnsiTheme="minorHAnsi" w:cstheme="minorHAnsi"/>
                <w:lang w:val="en-AU"/>
              </w:rPr>
              <w:t xml:space="preserve"> gas field containing</w:t>
            </w:r>
            <w:r w:rsidRPr="008D6AE4">
              <w:rPr>
                <w:rFonts w:asciiTheme="minorHAnsi" w:hAnsiTheme="minorHAnsi" w:cstheme="minorHAnsi"/>
                <w:b/>
                <w:bCs/>
                <w:lang w:val="en-AU"/>
              </w:rPr>
              <w:t xml:space="preserve"> </w:t>
            </w:r>
            <w:r w:rsidRPr="008D6AE4">
              <w:rPr>
                <w:rFonts w:asciiTheme="minorHAnsi" w:hAnsiTheme="minorHAnsi" w:cstheme="minorHAnsi"/>
                <w:lang w:val="en-AU"/>
              </w:rPr>
              <w:t>2 platforms (</w:t>
            </w:r>
            <w:proofErr w:type="spellStart"/>
            <w:r w:rsidRPr="008D6AE4">
              <w:rPr>
                <w:rFonts w:asciiTheme="minorHAnsi" w:hAnsiTheme="minorHAnsi" w:cstheme="minorHAnsi"/>
                <w:lang w:val="en-AU"/>
              </w:rPr>
              <w:t>Māui</w:t>
            </w:r>
            <w:proofErr w:type="spellEnd"/>
            <w:r w:rsidRPr="008D6AE4">
              <w:rPr>
                <w:rFonts w:asciiTheme="minorHAnsi" w:hAnsiTheme="minorHAnsi" w:cstheme="minorHAnsi"/>
                <w:lang w:val="en-AU"/>
              </w:rPr>
              <w:t xml:space="preserve"> A and </w:t>
            </w:r>
            <w:proofErr w:type="spellStart"/>
            <w:r w:rsidRPr="008D6AE4">
              <w:rPr>
                <w:rFonts w:asciiTheme="minorHAnsi" w:hAnsiTheme="minorHAnsi" w:cstheme="minorHAnsi"/>
                <w:lang w:val="en-AU"/>
              </w:rPr>
              <w:t>Māui</w:t>
            </w:r>
            <w:proofErr w:type="spellEnd"/>
            <w:r w:rsidRPr="008D6AE4">
              <w:rPr>
                <w:rFonts w:asciiTheme="minorHAnsi" w:hAnsiTheme="minorHAnsi" w:cstheme="minorHAnsi"/>
                <w:lang w:val="en-AU"/>
              </w:rPr>
              <w:t xml:space="preserve"> B) connected via pipelines to onshore processing facilities; Kupe gas field containing 1 unmanned platform connected via pipelines to onshore processing facilities; Tui Area containing </w:t>
            </w:r>
            <w:r w:rsidRPr="008D6AE4">
              <w:rPr>
                <w:rFonts w:asciiTheme="minorHAnsi" w:hAnsiTheme="minorHAnsi" w:cstheme="minorHAnsi"/>
                <w:color w:val="000000"/>
                <w:lang w:val="en-US"/>
              </w:rPr>
              <w:t>four horizontal wells flowing to a permanently moored Floating Production Storage &amp; Offloading (FPSO) vessel and;</w:t>
            </w:r>
            <w:r w:rsidRPr="008D6AE4">
              <w:rPr>
                <w:rFonts w:asciiTheme="minorHAnsi" w:hAnsiTheme="minorHAnsi" w:cstheme="minorHAnsi"/>
                <w:lang w:val="en-AU"/>
              </w:rPr>
              <w:t xml:space="preserve"> </w:t>
            </w:r>
            <w:proofErr w:type="spellStart"/>
            <w:r w:rsidRPr="008D6AE4">
              <w:rPr>
                <w:rFonts w:asciiTheme="minorHAnsi" w:hAnsiTheme="minorHAnsi" w:cstheme="minorHAnsi"/>
                <w:lang w:val="en-AU"/>
              </w:rPr>
              <w:t>Maari</w:t>
            </w:r>
            <w:proofErr w:type="spellEnd"/>
            <w:r w:rsidRPr="008D6AE4">
              <w:rPr>
                <w:rFonts w:asciiTheme="minorHAnsi" w:hAnsiTheme="minorHAnsi" w:cstheme="minorHAnsi"/>
                <w:lang w:val="en-AU"/>
              </w:rPr>
              <w:t xml:space="preserve"> oil field containing 1 wellhead platform and 1 FPSO.</w:t>
            </w:r>
          </w:p>
        </w:tc>
      </w:tr>
      <w:tr w:rsidR="008D2A93" w:rsidRPr="008D6AE4" w14:paraId="41B3852D" w14:textId="77777777" w:rsidTr="008D2A93">
        <w:trPr>
          <w:trHeight w:val="567"/>
        </w:trPr>
        <w:tc>
          <w:tcPr>
            <w:tcW w:w="90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9D57A"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b/>
                <w:bCs/>
                <w:lang w:val="en-AU"/>
              </w:rPr>
              <w:t>Assurance Mechanisms:</w:t>
            </w:r>
            <w:r w:rsidRPr="008D6AE4">
              <w:rPr>
                <w:rFonts w:asciiTheme="minorHAnsi" w:hAnsiTheme="minorHAnsi" w:cstheme="minorHAnsi"/>
                <w:lang w:val="en-AU"/>
              </w:rPr>
              <w:t xml:space="preserve"> Multi-agency inspection of offshore installations and activities including EPA inspectors concerned with the environmental aspects of regulation &amp; control of activities.</w:t>
            </w:r>
          </w:p>
          <w:p w14:paraId="73EF62F0"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lang w:val="en-AU"/>
              </w:rPr>
              <w:t> </w:t>
            </w:r>
          </w:p>
        </w:tc>
      </w:tr>
      <w:tr w:rsidR="008D2A93" w:rsidRPr="008D6AE4" w14:paraId="541A2180" w14:textId="77777777" w:rsidTr="008D2A93">
        <w:trPr>
          <w:trHeight w:val="567"/>
        </w:trPr>
        <w:tc>
          <w:tcPr>
            <w:tcW w:w="900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F08F015"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b/>
                <w:bCs/>
                <w:lang w:val="en-AU"/>
              </w:rPr>
              <w:t>Financial Basis:</w:t>
            </w:r>
            <w:r w:rsidRPr="008D6AE4">
              <w:rPr>
                <w:rFonts w:asciiTheme="minorHAnsi" w:hAnsiTheme="minorHAnsi" w:cstheme="minorHAnsi"/>
                <w:lang w:val="en-AU"/>
              </w:rPr>
              <w:t xml:space="preserve"> The EPA’s activities relating to the EEZ are primarily cost-recovered from the operators of offshore installations, and marine consent applicants.</w:t>
            </w:r>
          </w:p>
          <w:p w14:paraId="34EF1C36"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lang w:val="en-AU"/>
              </w:rPr>
              <w:t> </w:t>
            </w:r>
          </w:p>
        </w:tc>
      </w:tr>
      <w:tr w:rsidR="008D2A93" w:rsidRPr="008D6AE4" w14:paraId="573B21D5" w14:textId="77777777" w:rsidTr="008D2A93">
        <w:trPr>
          <w:trHeight w:val="567"/>
        </w:trPr>
        <w:tc>
          <w:tcPr>
            <w:tcW w:w="900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841C32"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b/>
                <w:bCs/>
                <w:lang w:val="en-AU"/>
              </w:rPr>
              <w:lastRenderedPageBreak/>
              <w:t>Environmental Regulation Responsibilities:</w:t>
            </w:r>
            <w:r w:rsidRPr="008D6AE4">
              <w:rPr>
                <w:rFonts w:asciiTheme="minorHAnsi" w:hAnsiTheme="minorHAnsi" w:cstheme="minorHAnsi"/>
                <w:lang w:val="en-AU"/>
              </w:rPr>
              <w:t xml:space="preserve"> In relation to the EEZ and Continental Shelf Act, the EPA shall: </w:t>
            </w:r>
            <w:r w:rsidRPr="008D6AE4">
              <w:rPr>
                <w:rFonts w:asciiTheme="minorHAnsi" w:hAnsiTheme="minorHAnsi" w:cstheme="minorHAnsi"/>
                <w:lang w:val="en-US" w:eastAsia="en-NZ"/>
              </w:rPr>
              <w:t>Receive information about permitted activities; receive information about transitional arrangements and make rulings about the effects of changes to existing activities; receive, process, assess and decide on marine consent applications; undertake the monitoring and enforcement of activities in New Zealand’s EEZ and Continental Shelf that are managed under the Act and its regulations; keep records and make information available, and; promote public awareness of the requirements of the Act.</w:t>
            </w:r>
          </w:p>
          <w:p w14:paraId="2C3A64D6"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lang w:val="en-AU"/>
              </w:rPr>
              <w:t> </w:t>
            </w:r>
          </w:p>
        </w:tc>
      </w:tr>
      <w:tr w:rsidR="008D2A93" w:rsidRPr="008D6AE4" w14:paraId="1A788104" w14:textId="77777777" w:rsidTr="008D2A93">
        <w:trPr>
          <w:trHeight w:val="567"/>
        </w:trPr>
        <w:tc>
          <w:tcPr>
            <w:tcW w:w="90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DDC25"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b/>
                <w:bCs/>
                <w:lang w:val="en-AU"/>
              </w:rPr>
              <w:t>Oil Spill Response:</w:t>
            </w:r>
            <w:r w:rsidRPr="008D6AE4">
              <w:rPr>
                <w:rFonts w:asciiTheme="minorHAnsi" w:hAnsiTheme="minorHAnsi" w:cstheme="minorHAnsi"/>
                <w:lang w:val="en-AU"/>
              </w:rPr>
              <w:t xml:space="preserve"> The EPA has no direct response </w:t>
            </w:r>
            <w:proofErr w:type="gramStart"/>
            <w:r w:rsidRPr="008D6AE4">
              <w:rPr>
                <w:rFonts w:asciiTheme="minorHAnsi" w:hAnsiTheme="minorHAnsi" w:cstheme="minorHAnsi"/>
                <w:lang w:val="en-AU"/>
              </w:rPr>
              <w:t>functions, but</w:t>
            </w:r>
            <w:proofErr w:type="gramEnd"/>
            <w:r w:rsidRPr="008D6AE4">
              <w:rPr>
                <w:rFonts w:asciiTheme="minorHAnsi" w:hAnsiTheme="minorHAnsi" w:cstheme="minorHAnsi"/>
                <w:lang w:val="en-AU"/>
              </w:rPr>
              <w:t xml:space="preserve"> requires oil spill contingency planning at activity consenting stage. Oil spill response is undertaken by Maritime New Zealand. Operators are required to submit for approval an oil spill </w:t>
            </w:r>
            <w:r w:rsidRPr="008D6AE4">
              <w:rPr>
                <w:rFonts w:asciiTheme="minorHAnsi" w:hAnsiTheme="minorHAnsi" w:cstheme="minorHAnsi"/>
              </w:rPr>
              <w:t>contingency plan to Maritime New Zealand.</w:t>
            </w:r>
          </w:p>
          <w:p w14:paraId="67434344"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lang w:val="en-AU"/>
              </w:rPr>
              <w:t> </w:t>
            </w:r>
          </w:p>
        </w:tc>
      </w:tr>
      <w:tr w:rsidR="008D2A93" w:rsidRPr="008D6AE4" w14:paraId="3980507A" w14:textId="77777777" w:rsidTr="008D2A93">
        <w:trPr>
          <w:trHeight w:val="567"/>
        </w:trPr>
        <w:tc>
          <w:tcPr>
            <w:tcW w:w="90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A2CDB"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b/>
                <w:bCs/>
                <w:lang w:val="en-AU"/>
              </w:rPr>
              <w:t>Transparency:</w:t>
            </w:r>
            <w:r w:rsidRPr="008D6AE4">
              <w:rPr>
                <w:rFonts w:asciiTheme="minorHAnsi" w:hAnsiTheme="minorHAnsi" w:cstheme="minorHAnsi"/>
                <w:lang w:val="en-AU"/>
              </w:rPr>
              <w:t xml:space="preserve"> Reporting and public notification for oil and gas production activities. The role of the EPA includes </w:t>
            </w:r>
            <w:r w:rsidRPr="008D6AE4">
              <w:rPr>
                <w:rFonts w:asciiTheme="minorHAnsi" w:hAnsiTheme="minorHAnsi" w:cstheme="minorHAnsi"/>
                <w:lang w:val="en-US" w:eastAsia="en-NZ"/>
              </w:rPr>
              <w:t xml:space="preserve">making information available and promoting public awareness of the requirements of the EEZ Act. </w:t>
            </w:r>
            <w:r w:rsidRPr="008D6AE4">
              <w:rPr>
                <w:rFonts w:asciiTheme="minorHAnsi" w:hAnsiTheme="minorHAnsi" w:cstheme="minorHAnsi"/>
                <w:lang w:val="en-AU"/>
              </w:rPr>
              <w:t>The EPA website provides information about the administration of the EEZ Act and the work of the EPA.</w:t>
            </w:r>
          </w:p>
          <w:p w14:paraId="67977C16"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lang w:val="en-AU"/>
              </w:rPr>
              <w:t> </w:t>
            </w:r>
          </w:p>
        </w:tc>
      </w:tr>
      <w:tr w:rsidR="008D2A93" w:rsidRPr="008D6AE4" w14:paraId="7017BFB0" w14:textId="77777777" w:rsidTr="008D2A93">
        <w:trPr>
          <w:trHeight w:val="567"/>
        </w:trPr>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C3529"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b/>
                <w:bCs/>
                <w:lang w:val="en-AU"/>
              </w:rPr>
              <w:t>Profile Date:</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25B01B65" w14:textId="77777777" w:rsidR="008D2A93" w:rsidRPr="008D6AE4" w:rsidRDefault="008D2A93">
            <w:pPr>
              <w:spacing w:before="120" w:after="120"/>
              <w:rPr>
                <w:rFonts w:asciiTheme="minorHAnsi" w:hAnsiTheme="minorHAnsi" w:cstheme="minorHAnsi"/>
              </w:rPr>
            </w:pPr>
            <w:r w:rsidRPr="008D6AE4">
              <w:rPr>
                <w:rFonts w:asciiTheme="minorHAnsi" w:hAnsiTheme="minorHAnsi" w:cstheme="minorHAnsi"/>
                <w:lang w:val="en-AU"/>
              </w:rPr>
              <w:t>July, 2018</w:t>
            </w:r>
          </w:p>
        </w:tc>
      </w:tr>
    </w:tbl>
    <w:p w14:paraId="5A21C683" w14:textId="77777777" w:rsidR="008D2A93" w:rsidRPr="008D6AE4" w:rsidRDefault="008D2A93" w:rsidP="008D2A93">
      <w:pPr>
        <w:rPr>
          <w:rFonts w:asciiTheme="minorHAnsi" w:hAnsiTheme="minorHAnsi" w:cstheme="minorHAnsi"/>
          <w:lang w:val="en-NZ"/>
        </w:rPr>
      </w:pPr>
    </w:p>
    <w:p w14:paraId="5CC967EE" w14:textId="77777777" w:rsidR="008D2A93" w:rsidRPr="008D6AE4" w:rsidRDefault="008D2A93" w:rsidP="008D2A93">
      <w:pPr>
        <w:rPr>
          <w:rFonts w:asciiTheme="minorHAnsi" w:hAnsiTheme="minorHAnsi" w:cstheme="minorHAnsi"/>
          <w:lang w:val="en-NZ"/>
        </w:rPr>
      </w:pPr>
      <w:bookmarkStart w:id="0" w:name="_GoBack"/>
      <w:bookmarkEnd w:id="0"/>
    </w:p>
    <w:p w14:paraId="35A4F538" w14:textId="77777777" w:rsidR="00F27697" w:rsidRDefault="00D276EA"/>
    <w:sectPr w:rsidR="00F27697">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12BDB" w14:textId="77777777" w:rsidR="00D276EA" w:rsidRDefault="00D276EA" w:rsidP="008D2A93">
      <w:r>
        <w:separator/>
      </w:r>
    </w:p>
  </w:endnote>
  <w:endnote w:type="continuationSeparator" w:id="0">
    <w:p w14:paraId="27C15A25" w14:textId="77777777" w:rsidR="00D276EA" w:rsidRDefault="00D276EA" w:rsidP="008D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D6BFE" w14:textId="77777777" w:rsidR="00D276EA" w:rsidRDefault="00D276EA" w:rsidP="008D2A93">
      <w:r>
        <w:separator/>
      </w:r>
    </w:p>
  </w:footnote>
  <w:footnote w:type="continuationSeparator" w:id="0">
    <w:p w14:paraId="10A34702" w14:textId="77777777" w:rsidR="00D276EA" w:rsidRDefault="00D276EA" w:rsidP="008D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C143" w14:textId="74226767" w:rsidR="008D2A93" w:rsidRDefault="008D6AE4" w:rsidP="008D6AE4">
    <w:pPr>
      <w:pStyle w:val="Header"/>
      <w:jc w:val="center"/>
    </w:pPr>
    <w:r>
      <w:t xml:space="preserve">Member Country Profile - </w:t>
    </w:r>
    <w:r w:rsidR="008D2A93">
      <w:t>New Zealand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F7AFE"/>
    <w:multiLevelType w:val="hybridMultilevel"/>
    <w:tmpl w:val="6860B3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93"/>
    <w:rsid w:val="000A6873"/>
    <w:rsid w:val="002F28DC"/>
    <w:rsid w:val="008D2A93"/>
    <w:rsid w:val="008D6AE4"/>
    <w:rsid w:val="009820FE"/>
    <w:rsid w:val="00D2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A78D"/>
  <w15:chartTrackingRefBased/>
  <w15:docId w15:val="{C57ACF7D-2B01-4E24-ACCE-9F783BAE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A9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2A93"/>
    <w:rPr>
      <w:color w:val="0563C1"/>
      <w:u w:val="single"/>
    </w:rPr>
  </w:style>
  <w:style w:type="paragraph" w:styleId="ListParagraph">
    <w:name w:val="List Paragraph"/>
    <w:basedOn w:val="Normal"/>
    <w:uiPriority w:val="34"/>
    <w:qFormat/>
    <w:rsid w:val="008D2A93"/>
    <w:pPr>
      <w:ind w:left="720"/>
    </w:pPr>
  </w:style>
  <w:style w:type="paragraph" w:styleId="Header">
    <w:name w:val="header"/>
    <w:basedOn w:val="Normal"/>
    <w:link w:val="HeaderChar"/>
    <w:uiPriority w:val="99"/>
    <w:unhideWhenUsed/>
    <w:rsid w:val="008D2A93"/>
    <w:pPr>
      <w:tabs>
        <w:tab w:val="center" w:pos="4513"/>
        <w:tab w:val="right" w:pos="9026"/>
      </w:tabs>
    </w:pPr>
  </w:style>
  <w:style w:type="character" w:customStyle="1" w:styleId="HeaderChar">
    <w:name w:val="Header Char"/>
    <w:basedOn w:val="DefaultParagraphFont"/>
    <w:link w:val="Header"/>
    <w:uiPriority w:val="99"/>
    <w:rsid w:val="008D2A93"/>
    <w:rPr>
      <w:rFonts w:ascii="Calibri" w:hAnsi="Calibri" w:cs="Calibri"/>
    </w:rPr>
  </w:style>
  <w:style w:type="paragraph" w:styleId="Footer">
    <w:name w:val="footer"/>
    <w:basedOn w:val="Normal"/>
    <w:link w:val="FooterChar"/>
    <w:uiPriority w:val="99"/>
    <w:unhideWhenUsed/>
    <w:rsid w:val="008D2A93"/>
    <w:pPr>
      <w:tabs>
        <w:tab w:val="center" w:pos="4513"/>
        <w:tab w:val="right" w:pos="9026"/>
      </w:tabs>
    </w:pPr>
  </w:style>
  <w:style w:type="character" w:customStyle="1" w:styleId="FooterChar">
    <w:name w:val="Footer Char"/>
    <w:basedOn w:val="DefaultParagraphFont"/>
    <w:link w:val="Footer"/>
    <w:uiPriority w:val="99"/>
    <w:rsid w:val="008D2A9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5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Moginie@epa.govt.nz" TargetMode="External"/><Relationship Id="rId13" Type="http://schemas.openxmlformats.org/officeDocument/2006/relationships/hyperlink" Target="https://www.epa.govt.nz/industry-areas/eez-marine-activities/roles-and-responsibilities/who-does-what-and-when/" TargetMode="External"/><Relationship Id="rId3" Type="http://schemas.openxmlformats.org/officeDocument/2006/relationships/settings" Target="settings.xml"/><Relationship Id="rId7" Type="http://schemas.openxmlformats.org/officeDocument/2006/relationships/hyperlink" Target="mailto:Siobhan.Quayle@epa.govt.nz" TargetMode="External"/><Relationship Id="rId12" Type="http://schemas.openxmlformats.org/officeDocument/2006/relationships/hyperlink" Target="http://www.legislation.govt.nz/act/public/1991/0070/76.0/DLM242536.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t.nz/act/public/1994/0104/76.0/DLM33466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islation.govt.nz/act/public/1978/0080/latest/DLM25111.html" TargetMode="External"/><Relationship Id="rId4" Type="http://schemas.openxmlformats.org/officeDocument/2006/relationships/webSettings" Target="webSettings.xml"/><Relationship Id="rId9" Type="http://schemas.openxmlformats.org/officeDocument/2006/relationships/hyperlink" Target="http://legislation.govt.nz/act/public/2012/0072/latest/DLM3955428.html?src=q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Bicocchi, Bernadette (BEIS)</dc:creator>
  <cp:keywords/>
  <dc:description/>
  <cp:lastModifiedBy>Bicocchi, Bernadette (BEIS)</cp:lastModifiedBy>
  <cp:revision>2</cp:revision>
  <dcterms:created xsi:type="dcterms:W3CDTF">2018-07-30T10:32:00Z</dcterms:created>
  <dcterms:modified xsi:type="dcterms:W3CDTF">2018-07-30T10:32:00Z</dcterms:modified>
</cp:coreProperties>
</file>